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6"/>
        <w:ind w:left="123"/>
      </w:pPr>
      <w:r>
        <w:rPr>
          <w:w w:val="105"/>
        </w:rPr>
        <w:t>Município: NOVA ROMA DO SUL</w:t>
      </w:r>
    </w:p>
    <w:p>
      <w:pPr>
        <w:spacing w:line="240" w:lineRule="auto" w:before="0"/>
        <w:rPr>
          <w:sz w:val="12"/>
        </w:rPr>
      </w:pPr>
    </w:p>
    <w:p>
      <w:pPr>
        <w:spacing w:line="240" w:lineRule="auto" w:before="5"/>
        <w:rPr>
          <w:sz w:val="16"/>
        </w:rPr>
      </w:pPr>
    </w:p>
    <w:p>
      <w:pPr>
        <w:pStyle w:val="BodyText"/>
        <w:ind w:left="123"/>
      </w:pPr>
      <w:r>
        <w:rPr>
          <w:w w:val="105"/>
        </w:rPr>
        <w:t>Período: Exercício de 2016</w:t>
      </w:r>
    </w:p>
    <w:p>
      <w:pPr>
        <w:pStyle w:val="BodyText"/>
        <w:spacing w:before="101"/>
        <w:ind w:left="123"/>
      </w:pPr>
      <w:r>
        <w:rPr>
          <w:w w:val="105"/>
        </w:rPr>
        <w:t>Unidade Gestora: 0001 - CÂMARA MUNICIPAL</w:t>
      </w:r>
    </w:p>
    <w:p>
      <w:pPr>
        <w:pStyle w:val="BodyText"/>
        <w:spacing w:before="86"/>
        <w:ind w:left="131" w:right="47"/>
        <w:jc w:val="center"/>
      </w:pPr>
      <w:r>
        <w:rPr/>
        <w:br w:type="column"/>
      </w:r>
      <w:r>
        <w:rPr>
          <w:w w:val="105"/>
        </w:rPr>
        <w:t>UF: Estado do Rio Grande do Sul</w:t>
      </w:r>
    </w:p>
    <w:p>
      <w:pPr>
        <w:spacing w:before="98"/>
        <w:ind w:left="131" w:right="48" w:firstLine="0"/>
        <w:jc w:val="center"/>
        <w:rPr>
          <w:b/>
          <w:sz w:val="15"/>
        </w:rPr>
      </w:pPr>
      <w:r>
        <w:rPr>
          <w:b/>
          <w:sz w:val="15"/>
        </w:rPr>
        <w:t>DEMONSTRAÇÃO DOS FLUXOS DE CAIXA</w:t>
      </w:r>
    </w:p>
    <w:p>
      <w:pPr>
        <w:pStyle w:val="BodyText"/>
        <w:spacing w:before="86"/>
        <w:ind w:left="124"/>
      </w:pPr>
      <w:r>
        <w:rPr/>
        <w:br w:type="column"/>
      </w:r>
      <w:r>
        <w:rPr>
          <w:w w:val="105"/>
        </w:rPr>
        <w:t>Página 1 de 1</w:t>
      </w:r>
    </w:p>
    <w:p>
      <w:pPr>
        <w:spacing w:after="0"/>
        <w:sectPr>
          <w:type w:val="continuous"/>
          <w:pgSz w:w="11910" w:h="16840"/>
          <w:pgMar w:top="480" w:bottom="280" w:left="460" w:right="440"/>
          <w:cols w:num="3" w:equalWidth="0">
            <w:col w:w="2595" w:space="1208"/>
            <w:col w:w="3295" w:space="2933"/>
            <w:col w:w="979"/>
          </w:cols>
        </w:sectPr>
      </w:pPr>
    </w:p>
    <w:p>
      <w:pPr>
        <w:spacing w:line="240" w:lineRule="auto" w:before="7"/>
        <w:rPr>
          <w:sz w:val="6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83"/>
        <w:gridCol w:w="794"/>
        <w:gridCol w:w="2154"/>
        <w:gridCol w:w="2041"/>
      </w:tblGrid>
      <w:tr>
        <w:trPr>
          <w:trHeight w:val="438" w:hRule="atLeast"/>
        </w:trPr>
        <w:tc>
          <w:tcPr>
            <w:tcW w:w="5783" w:type="dxa"/>
            <w:shd w:val="clear" w:color="auto" w:fill="D7D7D7"/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FLUXO DE CAIXA DAS ATIVIDADES OPERACIONAIS</w:t>
            </w:r>
          </w:p>
        </w:tc>
        <w:tc>
          <w:tcPr>
            <w:tcW w:w="794" w:type="dxa"/>
            <w:shd w:val="clear" w:color="auto" w:fill="D7D7D7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before="0"/>
              <w:ind w:right="25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Nota</w:t>
            </w:r>
          </w:p>
        </w:tc>
        <w:tc>
          <w:tcPr>
            <w:tcW w:w="2154" w:type="dxa"/>
            <w:shd w:val="clear" w:color="auto" w:fill="D7D7D7"/>
          </w:tcPr>
          <w:p>
            <w:pPr>
              <w:pStyle w:val="TableParagraph"/>
              <w:spacing w:line="249" w:lineRule="auto" w:before="88"/>
              <w:ind w:left="819" w:right="80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Exercício </w:t>
            </w:r>
            <w:r>
              <w:rPr>
                <w:b/>
                <w:w w:val="105"/>
                <w:sz w:val="11"/>
              </w:rPr>
              <w:t>Atual</w:t>
            </w:r>
          </w:p>
        </w:tc>
        <w:tc>
          <w:tcPr>
            <w:tcW w:w="2041" w:type="dxa"/>
            <w:shd w:val="clear" w:color="auto" w:fill="D7D7D7"/>
          </w:tcPr>
          <w:p>
            <w:pPr>
              <w:pStyle w:val="TableParagraph"/>
              <w:spacing w:line="249" w:lineRule="auto" w:before="88"/>
              <w:ind w:left="763" w:right="74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Exercício </w:t>
            </w:r>
            <w:r>
              <w:rPr>
                <w:b/>
                <w:w w:val="105"/>
                <w:sz w:val="11"/>
              </w:rPr>
              <w:t>Anterior</w:t>
            </w:r>
          </w:p>
        </w:tc>
      </w:tr>
      <w:tr>
        <w:trPr>
          <w:trHeight w:val="211" w:hRule="atLeast"/>
        </w:trPr>
        <w:tc>
          <w:tcPr>
            <w:tcW w:w="5783" w:type="dxa"/>
          </w:tcPr>
          <w:p>
            <w:pPr>
              <w:pStyle w:val="TableParagraph"/>
              <w:ind w:left="1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Ingressos</w:t>
            </w:r>
          </w:p>
        </w:tc>
        <w:tc>
          <w:tcPr>
            <w:tcW w:w="794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154" w:type="dxa"/>
          </w:tcPr>
          <w:p>
            <w:pPr>
              <w:pStyle w:val="TableParagraph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326.459,90</w:t>
            </w:r>
          </w:p>
        </w:tc>
        <w:tc>
          <w:tcPr>
            <w:tcW w:w="2041" w:type="dxa"/>
          </w:tcPr>
          <w:p>
            <w:pPr>
              <w:pStyle w:val="TableParagraph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325.165,72</w:t>
            </w:r>
          </w:p>
        </w:tc>
      </w:tr>
      <w:tr>
        <w:trPr>
          <w:trHeight w:val="211" w:hRule="atLeast"/>
        </w:trPr>
        <w:tc>
          <w:tcPr>
            <w:tcW w:w="5783" w:type="dxa"/>
            <w:shd w:val="clear" w:color="auto" w:fill="DFDFDF"/>
          </w:tcPr>
          <w:p>
            <w:pPr>
              <w:pStyle w:val="TableParagraph"/>
              <w:ind w:left="175"/>
              <w:rPr>
                <w:sz w:val="11"/>
              </w:rPr>
            </w:pPr>
            <w:r>
              <w:rPr>
                <w:w w:val="105"/>
                <w:sz w:val="11"/>
              </w:rPr>
              <w:t>Transferências correntes e recebidas</w:t>
            </w:r>
          </w:p>
        </w:tc>
        <w:tc>
          <w:tcPr>
            <w:tcW w:w="794" w:type="dxa"/>
            <w:shd w:val="clear" w:color="auto" w:fill="DFDFDF"/>
          </w:tcPr>
          <w:p>
            <w:pPr>
              <w:pStyle w:val="TableParagraph"/>
              <w:ind w:right="273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2FC</w:t>
            </w:r>
          </w:p>
        </w:tc>
        <w:tc>
          <w:tcPr>
            <w:tcW w:w="2154" w:type="dxa"/>
            <w:shd w:val="clear" w:color="auto" w:fill="DFDFDF"/>
          </w:tcPr>
          <w:p>
            <w:pPr>
              <w:pStyle w:val="TableParagraph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326.459,90</w:t>
            </w:r>
          </w:p>
        </w:tc>
        <w:tc>
          <w:tcPr>
            <w:tcW w:w="2041" w:type="dxa"/>
            <w:shd w:val="clear" w:color="auto" w:fill="DFDFDF"/>
          </w:tcPr>
          <w:p>
            <w:pPr>
              <w:pStyle w:val="TableParagraph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325.165,72</w:t>
            </w:r>
          </w:p>
        </w:tc>
      </w:tr>
      <w:tr>
        <w:trPr>
          <w:trHeight w:val="211" w:hRule="atLeast"/>
        </w:trPr>
        <w:tc>
          <w:tcPr>
            <w:tcW w:w="5783" w:type="dxa"/>
          </w:tcPr>
          <w:p>
            <w:pPr>
              <w:pStyle w:val="TableParagraph"/>
              <w:ind w:left="1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Desembolsos</w:t>
            </w:r>
          </w:p>
        </w:tc>
        <w:tc>
          <w:tcPr>
            <w:tcW w:w="794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154" w:type="dxa"/>
          </w:tcPr>
          <w:p>
            <w:pPr>
              <w:pStyle w:val="TableParagraph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330.154,07</w:t>
            </w:r>
          </w:p>
        </w:tc>
        <w:tc>
          <w:tcPr>
            <w:tcW w:w="2041" w:type="dxa"/>
          </w:tcPr>
          <w:p>
            <w:pPr>
              <w:pStyle w:val="TableParagraph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321.618,24</w:t>
            </w:r>
          </w:p>
        </w:tc>
      </w:tr>
      <w:tr>
        <w:trPr>
          <w:trHeight w:val="211" w:hRule="atLeast"/>
        </w:trPr>
        <w:tc>
          <w:tcPr>
            <w:tcW w:w="5783" w:type="dxa"/>
            <w:shd w:val="clear" w:color="auto" w:fill="DFDFDF"/>
          </w:tcPr>
          <w:p>
            <w:pPr>
              <w:pStyle w:val="TableParagraph"/>
              <w:ind w:left="175"/>
              <w:rPr>
                <w:sz w:val="11"/>
              </w:rPr>
            </w:pPr>
            <w:r>
              <w:rPr>
                <w:w w:val="105"/>
                <w:sz w:val="11"/>
              </w:rPr>
              <w:t>Pessoal e demais despesas</w:t>
            </w:r>
          </w:p>
        </w:tc>
        <w:tc>
          <w:tcPr>
            <w:tcW w:w="794" w:type="dxa"/>
            <w:shd w:val="clear" w:color="auto" w:fill="DFDFDF"/>
          </w:tcPr>
          <w:p>
            <w:pPr>
              <w:pStyle w:val="TableParagraph"/>
              <w:ind w:right="273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3FC</w:t>
            </w:r>
          </w:p>
        </w:tc>
        <w:tc>
          <w:tcPr>
            <w:tcW w:w="2154" w:type="dxa"/>
            <w:shd w:val="clear" w:color="auto" w:fill="DFDFDF"/>
          </w:tcPr>
          <w:p>
            <w:pPr>
              <w:pStyle w:val="TableParagraph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324.958,18</w:t>
            </w:r>
          </w:p>
        </w:tc>
        <w:tc>
          <w:tcPr>
            <w:tcW w:w="2041" w:type="dxa"/>
            <w:shd w:val="clear" w:color="auto" w:fill="DFDFDF"/>
          </w:tcPr>
          <w:p>
            <w:pPr>
              <w:pStyle w:val="TableParagraph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321.558,72</w:t>
            </w:r>
          </w:p>
        </w:tc>
      </w:tr>
      <w:tr>
        <w:trPr>
          <w:trHeight w:val="211" w:hRule="atLeast"/>
        </w:trPr>
        <w:tc>
          <w:tcPr>
            <w:tcW w:w="5783" w:type="dxa"/>
          </w:tcPr>
          <w:p>
            <w:pPr>
              <w:pStyle w:val="TableParagraph"/>
              <w:ind w:left="175"/>
              <w:rPr>
                <w:sz w:val="11"/>
              </w:rPr>
            </w:pPr>
            <w:r>
              <w:rPr>
                <w:w w:val="105"/>
                <w:sz w:val="11"/>
              </w:rPr>
              <w:t>Transferências concedidas</w:t>
            </w:r>
          </w:p>
        </w:tc>
        <w:tc>
          <w:tcPr>
            <w:tcW w:w="794" w:type="dxa"/>
          </w:tcPr>
          <w:p>
            <w:pPr>
              <w:pStyle w:val="TableParagraph"/>
              <w:ind w:right="273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2FC</w:t>
            </w:r>
          </w:p>
        </w:tc>
        <w:tc>
          <w:tcPr>
            <w:tcW w:w="2154" w:type="dxa"/>
          </w:tcPr>
          <w:p>
            <w:pPr>
              <w:pStyle w:val="TableParagraph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2041" w:type="dxa"/>
          </w:tcPr>
          <w:p>
            <w:pPr>
              <w:pStyle w:val="TableParagraph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7,00</w:t>
            </w:r>
          </w:p>
        </w:tc>
      </w:tr>
      <w:tr>
        <w:trPr>
          <w:trHeight w:val="211" w:hRule="atLeast"/>
        </w:trPr>
        <w:tc>
          <w:tcPr>
            <w:tcW w:w="5783" w:type="dxa"/>
            <w:shd w:val="clear" w:color="auto" w:fill="DFDFDF"/>
          </w:tcPr>
          <w:p>
            <w:pPr>
              <w:pStyle w:val="TableParagraph"/>
              <w:ind w:left="175"/>
              <w:rPr>
                <w:sz w:val="11"/>
              </w:rPr>
            </w:pPr>
            <w:r>
              <w:rPr>
                <w:w w:val="105"/>
                <w:sz w:val="11"/>
              </w:rPr>
              <w:t>Outros desembolsos operacionais</w:t>
            </w:r>
          </w:p>
        </w:tc>
        <w:tc>
          <w:tcPr>
            <w:tcW w:w="794" w:type="dxa"/>
            <w:shd w:val="clear" w:color="auto" w:fill="DFDFDF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154" w:type="dxa"/>
            <w:shd w:val="clear" w:color="auto" w:fill="DFDFDF"/>
          </w:tcPr>
          <w:p>
            <w:pPr>
              <w:pStyle w:val="TableParagraph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5.195,89</w:t>
            </w:r>
          </w:p>
        </w:tc>
        <w:tc>
          <w:tcPr>
            <w:tcW w:w="2041" w:type="dxa"/>
            <w:shd w:val="clear" w:color="auto" w:fill="DFDFDF"/>
          </w:tcPr>
          <w:p>
            <w:pPr>
              <w:pStyle w:val="TableParagraph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52,52</w:t>
            </w:r>
          </w:p>
        </w:tc>
      </w:tr>
      <w:tr>
        <w:trPr>
          <w:trHeight w:val="211" w:hRule="atLeast"/>
        </w:trPr>
        <w:tc>
          <w:tcPr>
            <w:tcW w:w="5783" w:type="dxa"/>
          </w:tcPr>
          <w:p>
            <w:pPr>
              <w:pStyle w:val="TableParagraph"/>
              <w:ind w:left="1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Fluxo de caixa líquido das atividades operacionais (I)</w:t>
            </w:r>
          </w:p>
        </w:tc>
        <w:tc>
          <w:tcPr>
            <w:tcW w:w="794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154" w:type="dxa"/>
          </w:tcPr>
          <w:p>
            <w:pPr>
              <w:pStyle w:val="TableParagraph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(3.694,17)</w:t>
            </w:r>
          </w:p>
        </w:tc>
        <w:tc>
          <w:tcPr>
            <w:tcW w:w="2041" w:type="dxa"/>
          </w:tcPr>
          <w:p>
            <w:pPr>
              <w:pStyle w:val="TableParagraph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3.547,48</w:t>
            </w:r>
          </w:p>
        </w:tc>
      </w:tr>
      <w:tr>
        <w:trPr>
          <w:trHeight w:val="438" w:hRule="atLeast"/>
        </w:trPr>
        <w:tc>
          <w:tcPr>
            <w:tcW w:w="5783" w:type="dxa"/>
            <w:shd w:val="clear" w:color="auto" w:fill="D7D7D7"/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before="0"/>
              <w:ind w:left="1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FLUXO DE CAIXA DAS ATIVIDADES DE INVESTIMENTO</w:t>
            </w:r>
          </w:p>
        </w:tc>
        <w:tc>
          <w:tcPr>
            <w:tcW w:w="794" w:type="dxa"/>
            <w:shd w:val="clear" w:color="auto" w:fill="D7D7D7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before="0"/>
              <w:ind w:right="25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Nota</w:t>
            </w:r>
          </w:p>
        </w:tc>
        <w:tc>
          <w:tcPr>
            <w:tcW w:w="2154" w:type="dxa"/>
            <w:shd w:val="clear" w:color="auto" w:fill="D7D7D7"/>
          </w:tcPr>
          <w:p>
            <w:pPr>
              <w:pStyle w:val="TableParagraph"/>
              <w:spacing w:line="249" w:lineRule="auto" w:before="88"/>
              <w:ind w:left="819" w:right="80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Exercício </w:t>
            </w:r>
            <w:r>
              <w:rPr>
                <w:b/>
                <w:w w:val="105"/>
                <w:sz w:val="11"/>
              </w:rPr>
              <w:t>Atual</w:t>
            </w:r>
          </w:p>
        </w:tc>
        <w:tc>
          <w:tcPr>
            <w:tcW w:w="2041" w:type="dxa"/>
            <w:shd w:val="clear" w:color="auto" w:fill="D7D7D7"/>
          </w:tcPr>
          <w:p>
            <w:pPr>
              <w:pStyle w:val="TableParagraph"/>
              <w:spacing w:line="249" w:lineRule="auto" w:before="88"/>
              <w:ind w:left="763" w:right="74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Exercício </w:t>
            </w:r>
            <w:r>
              <w:rPr>
                <w:b/>
                <w:w w:val="105"/>
                <w:sz w:val="11"/>
              </w:rPr>
              <w:t>Anterior</w:t>
            </w:r>
          </w:p>
        </w:tc>
      </w:tr>
      <w:tr>
        <w:trPr>
          <w:trHeight w:val="211" w:hRule="atLeast"/>
        </w:trPr>
        <w:tc>
          <w:tcPr>
            <w:tcW w:w="5783" w:type="dxa"/>
          </w:tcPr>
          <w:p>
            <w:pPr>
              <w:pStyle w:val="TableParagraph"/>
              <w:ind w:left="1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Desembolsos</w:t>
            </w:r>
          </w:p>
        </w:tc>
        <w:tc>
          <w:tcPr>
            <w:tcW w:w="794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154" w:type="dxa"/>
          </w:tcPr>
          <w:p>
            <w:pPr>
              <w:pStyle w:val="TableParagraph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  <w:tc>
          <w:tcPr>
            <w:tcW w:w="2041" w:type="dxa"/>
          </w:tcPr>
          <w:p>
            <w:pPr>
              <w:pStyle w:val="TableParagraph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3.600,00</w:t>
            </w:r>
          </w:p>
        </w:tc>
      </w:tr>
      <w:tr>
        <w:trPr>
          <w:trHeight w:val="211" w:hRule="atLeast"/>
        </w:trPr>
        <w:tc>
          <w:tcPr>
            <w:tcW w:w="5783" w:type="dxa"/>
            <w:shd w:val="clear" w:color="auto" w:fill="DFDFDF"/>
          </w:tcPr>
          <w:p>
            <w:pPr>
              <w:pStyle w:val="TableParagraph"/>
              <w:ind w:left="175"/>
              <w:rPr>
                <w:sz w:val="11"/>
              </w:rPr>
            </w:pPr>
            <w:r>
              <w:rPr>
                <w:w w:val="105"/>
                <w:sz w:val="11"/>
              </w:rPr>
              <w:t>Aquisição de ativo não circulante</w:t>
            </w:r>
          </w:p>
        </w:tc>
        <w:tc>
          <w:tcPr>
            <w:tcW w:w="794" w:type="dxa"/>
            <w:shd w:val="clear" w:color="auto" w:fill="DFDFDF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154" w:type="dxa"/>
            <w:shd w:val="clear" w:color="auto" w:fill="DFDFDF"/>
          </w:tcPr>
          <w:p>
            <w:pPr>
              <w:pStyle w:val="TableParagraph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2041" w:type="dxa"/>
            <w:shd w:val="clear" w:color="auto" w:fill="DFDFDF"/>
          </w:tcPr>
          <w:p>
            <w:pPr>
              <w:pStyle w:val="TableParagraph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3.600,00</w:t>
            </w:r>
          </w:p>
        </w:tc>
      </w:tr>
      <w:tr>
        <w:trPr>
          <w:trHeight w:val="211" w:hRule="atLeast"/>
        </w:trPr>
        <w:tc>
          <w:tcPr>
            <w:tcW w:w="5783" w:type="dxa"/>
          </w:tcPr>
          <w:p>
            <w:pPr>
              <w:pStyle w:val="TableParagraph"/>
              <w:ind w:left="1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Fluxo de caixa líquido das atividades de investimento (II)</w:t>
            </w:r>
          </w:p>
        </w:tc>
        <w:tc>
          <w:tcPr>
            <w:tcW w:w="794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154" w:type="dxa"/>
          </w:tcPr>
          <w:p>
            <w:pPr>
              <w:pStyle w:val="TableParagraph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  <w:tc>
          <w:tcPr>
            <w:tcW w:w="2041" w:type="dxa"/>
          </w:tcPr>
          <w:p>
            <w:pPr>
              <w:pStyle w:val="TableParagraph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(3.600,00)</w:t>
            </w:r>
          </w:p>
        </w:tc>
      </w:tr>
      <w:tr>
        <w:trPr>
          <w:trHeight w:val="438" w:hRule="atLeast"/>
        </w:trPr>
        <w:tc>
          <w:tcPr>
            <w:tcW w:w="5783" w:type="dxa"/>
            <w:shd w:val="clear" w:color="auto" w:fill="D7D7D7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794" w:type="dxa"/>
            <w:shd w:val="clear" w:color="auto" w:fill="D7D7D7"/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before="0"/>
              <w:ind w:right="25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Nota</w:t>
            </w:r>
          </w:p>
        </w:tc>
        <w:tc>
          <w:tcPr>
            <w:tcW w:w="2154" w:type="dxa"/>
            <w:shd w:val="clear" w:color="auto" w:fill="D7D7D7"/>
          </w:tcPr>
          <w:p>
            <w:pPr>
              <w:pStyle w:val="TableParagraph"/>
              <w:spacing w:line="249" w:lineRule="auto" w:before="88"/>
              <w:ind w:left="819" w:right="80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Exercício </w:t>
            </w:r>
            <w:r>
              <w:rPr>
                <w:b/>
                <w:w w:val="105"/>
                <w:sz w:val="11"/>
              </w:rPr>
              <w:t>Atual</w:t>
            </w:r>
          </w:p>
        </w:tc>
        <w:tc>
          <w:tcPr>
            <w:tcW w:w="2041" w:type="dxa"/>
            <w:shd w:val="clear" w:color="auto" w:fill="D7D7D7"/>
          </w:tcPr>
          <w:p>
            <w:pPr>
              <w:pStyle w:val="TableParagraph"/>
              <w:spacing w:line="249" w:lineRule="auto" w:before="88"/>
              <w:ind w:left="763" w:right="74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Exercício </w:t>
            </w:r>
            <w:r>
              <w:rPr>
                <w:b/>
                <w:w w:val="105"/>
                <w:sz w:val="11"/>
              </w:rPr>
              <w:t>Anterior</w:t>
            </w:r>
          </w:p>
        </w:tc>
      </w:tr>
      <w:tr>
        <w:trPr>
          <w:trHeight w:val="211" w:hRule="atLeast"/>
        </w:trPr>
        <w:tc>
          <w:tcPr>
            <w:tcW w:w="5783" w:type="dxa"/>
          </w:tcPr>
          <w:p>
            <w:pPr>
              <w:pStyle w:val="TableParagraph"/>
              <w:ind w:left="1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GERAÇÃO LÍQUIDA DE CAIXA E EQUIVALENTE DE CAIXA (I + II + III)</w:t>
            </w:r>
          </w:p>
        </w:tc>
        <w:tc>
          <w:tcPr>
            <w:tcW w:w="794" w:type="dxa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154" w:type="dxa"/>
          </w:tcPr>
          <w:p>
            <w:pPr>
              <w:pStyle w:val="TableParagraph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(3.694,17)</w:t>
            </w:r>
          </w:p>
        </w:tc>
        <w:tc>
          <w:tcPr>
            <w:tcW w:w="2041" w:type="dxa"/>
          </w:tcPr>
          <w:p>
            <w:pPr>
              <w:pStyle w:val="TableParagraph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(52,52)</w:t>
            </w:r>
          </w:p>
        </w:tc>
      </w:tr>
      <w:tr>
        <w:trPr>
          <w:trHeight w:val="211" w:hRule="atLeast"/>
        </w:trPr>
        <w:tc>
          <w:tcPr>
            <w:tcW w:w="5783" w:type="dxa"/>
            <w:shd w:val="clear" w:color="auto" w:fill="DFDFDF"/>
          </w:tcPr>
          <w:p>
            <w:pPr>
              <w:pStyle w:val="TableParagraph"/>
              <w:ind w:left="175"/>
              <w:rPr>
                <w:sz w:val="11"/>
              </w:rPr>
            </w:pPr>
            <w:r>
              <w:rPr>
                <w:w w:val="105"/>
                <w:sz w:val="11"/>
              </w:rPr>
              <w:t>Caixa e Equivalente de caixa final</w:t>
            </w:r>
          </w:p>
        </w:tc>
        <w:tc>
          <w:tcPr>
            <w:tcW w:w="794" w:type="dxa"/>
            <w:shd w:val="clear" w:color="auto" w:fill="DFDFDF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154" w:type="dxa"/>
            <w:shd w:val="clear" w:color="auto" w:fill="DFDFDF"/>
          </w:tcPr>
          <w:p>
            <w:pPr>
              <w:pStyle w:val="TableParagraph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1.500,00</w:t>
            </w:r>
          </w:p>
        </w:tc>
        <w:tc>
          <w:tcPr>
            <w:tcW w:w="2041" w:type="dxa"/>
            <w:shd w:val="clear" w:color="auto" w:fill="DFDFDF"/>
          </w:tcPr>
          <w:p>
            <w:pPr>
              <w:pStyle w:val="TableParagraph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</w:tbl>
    <w:p>
      <w:pPr>
        <w:spacing w:line="240" w:lineRule="auto" w:before="6" w:after="1"/>
        <w:rPr>
          <w:sz w:val="18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6"/>
        <w:gridCol w:w="2154"/>
        <w:gridCol w:w="2041"/>
      </w:tblGrid>
      <w:tr>
        <w:trPr>
          <w:trHeight w:val="211" w:hRule="atLeast"/>
        </w:trPr>
        <w:tc>
          <w:tcPr>
            <w:tcW w:w="10771" w:type="dxa"/>
            <w:gridSpan w:val="3"/>
            <w:shd w:val="clear" w:color="auto" w:fill="D7D7D7"/>
          </w:tcPr>
          <w:p>
            <w:pPr>
              <w:pStyle w:val="TableParagraph"/>
              <w:spacing w:before="28"/>
              <w:ind w:left="332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QUADRO 2FC - TRANSFERÊNCIAS RECEBIDAS E CONCEDIDAS</w:t>
            </w:r>
          </w:p>
        </w:tc>
      </w:tr>
      <w:tr>
        <w:trPr>
          <w:trHeight w:val="438" w:hRule="atLeast"/>
        </w:trPr>
        <w:tc>
          <w:tcPr>
            <w:tcW w:w="6576" w:type="dxa"/>
            <w:shd w:val="clear" w:color="auto" w:fill="D7D7D7"/>
          </w:tcPr>
          <w:p>
            <w:pPr>
              <w:pStyle w:val="TableParagraph"/>
              <w:spacing w:before="0"/>
              <w:rPr>
                <w:sz w:val="14"/>
              </w:rPr>
            </w:pPr>
          </w:p>
          <w:p>
            <w:pPr>
              <w:pStyle w:val="TableParagraph"/>
              <w:spacing w:line="144" w:lineRule="exact" w:before="113"/>
              <w:ind w:left="1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TRANSFERÊNCIAS CORRENTES RECEBIDAS</w:t>
            </w:r>
          </w:p>
        </w:tc>
        <w:tc>
          <w:tcPr>
            <w:tcW w:w="2154" w:type="dxa"/>
            <w:shd w:val="clear" w:color="auto" w:fill="D7D7D7"/>
          </w:tcPr>
          <w:p>
            <w:pPr>
              <w:pStyle w:val="TableParagraph"/>
              <w:spacing w:line="249" w:lineRule="auto" w:before="88"/>
              <w:ind w:left="820" w:right="80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Exercício </w:t>
            </w:r>
            <w:r>
              <w:rPr>
                <w:b/>
                <w:w w:val="105"/>
                <w:sz w:val="11"/>
              </w:rPr>
              <w:t>Atual</w:t>
            </w:r>
          </w:p>
        </w:tc>
        <w:tc>
          <w:tcPr>
            <w:tcW w:w="2041" w:type="dxa"/>
            <w:shd w:val="clear" w:color="auto" w:fill="D7D7D7"/>
          </w:tcPr>
          <w:p>
            <w:pPr>
              <w:pStyle w:val="TableParagraph"/>
              <w:spacing w:line="249" w:lineRule="auto" w:before="88"/>
              <w:ind w:left="764" w:right="747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Exercício </w:t>
            </w:r>
            <w:r>
              <w:rPr>
                <w:b/>
                <w:w w:val="105"/>
                <w:sz w:val="11"/>
              </w:rPr>
              <w:t>Anterior</w:t>
            </w:r>
          </w:p>
        </w:tc>
      </w:tr>
      <w:tr>
        <w:trPr>
          <w:trHeight w:val="211" w:hRule="atLeast"/>
        </w:trPr>
        <w:tc>
          <w:tcPr>
            <w:tcW w:w="6576" w:type="dxa"/>
          </w:tcPr>
          <w:p>
            <w:pPr>
              <w:pStyle w:val="TableParagraph"/>
              <w:ind w:left="175"/>
              <w:rPr>
                <w:sz w:val="11"/>
              </w:rPr>
            </w:pPr>
            <w:r>
              <w:rPr>
                <w:w w:val="105"/>
                <w:sz w:val="11"/>
              </w:rPr>
              <w:t>Intragovernamentais</w:t>
            </w:r>
          </w:p>
        </w:tc>
        <w:tc>
          <w:tcPr>
            <w:tcW w:w="2154" w:type="dxa"/>
          </w:tcPr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sz w:val="11"/>
              </w:rPr>
              <w:t>326.459,90</w:t>
            </w:r>
          </w:p>
        </w:tc>
        <w:tc>
          <w:tcPr>
            <w:tcW w:w="2041" w:type="dxa"/>
          </w:tcPr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sz w:val="11"/>
              </w:rPr>
              <w:t>325.165,72</w:t>
            </w:r>
          </w:p>
        </w:tc>
      </w:tr>
      <w:tr>
        <w:trPr>
          <w:trHeight w:val="211" w:hRule="atLeast"/>
        </w:trPr>
        <w:tc>
          <w:tcPr>
            <w:tcW w:w="6576" w:type="dxa"/>
            <w:shd w:val="clear" w:color="auto" w:fill="DFDFDF"/>
          </w:tcPr>
          <w:p>
            <w:pPr>
              <w:pStyle w:val="TableParagraph"/>
              <w:ind w:left="1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Total das transferências recebidas</w:t>
            </w:r>
          </w:p>
        </w:tc>
        <w:tc>
          <w:tcPr>
            <w:tcW w:w="2154" w:type="dxa"/>
            <w:shd w:val="clear" w:color="auto" w:fill="DFDFDF"/>
          </w:tcPr>
          <w:p>
            <w:pPr>
              <w:pStyle w:val="TableParagraph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326.459,90</w:t>
            </w:r>
          </w:p>
        </w:tc>
        <w:tc>
          <w:tcPr>
            <w:tcW w:w="2041" w:type="dxa"/>
            <w:shd w:val="clear" w:color="auto" w:fill="DFDFDF"/>
          </w:tcPr>
          <w:p>
            <w:pPr>
              <w:pStyle w:val="TableParagraph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325.165,72</w:t>
            </w:r>
          </w:p>
        </w:tc>
      </w:tr>
      <w:tr>
        <w:trPr>
          <w:trHeight w:val="438" w:hRule="atLeast"/>
        </w:trPr>
        <w:tc>
          <w:tcPr>
            <w:tcW w:w="6576" w:type="dxa"/>
            <w:shd w:val="clear" w:color="auto" w:fill="D7D7D7"/>
          </w:tcPr>
          <w:p>
            <w:pPr>
              <w:pStyle w:val="TableParagraph"/>
              <w:spacing w:before="0"/>
              <w:rPr>
                <w:sz w:val="14"/>
              </w:rPr>
            </w:pPr>
          </w:p>
          <w:p>
            <w:pPr>
              <w:pStyle w:val="TableParagraph"/>
              <w:spacing w:line="144" w:lineRule="exact" w:before="113"/>
              <w:ind w:left="1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TRANSFERÊNCIAS CONCEDIDAS</w:t>
            </w:r>
          </w:p>
        </w:tc>
        <w:tc>
          <w:tcPr>
            <w:tcW w:w="2154" w:type="dxa"/>
            <w:shd w:val="clear" w:color="auto" w:fill="D7D7D7"/>
          </w:tcPr>
          <w:p>
            <w:pPr>
              <w:pStyle w:val="TableParagraph"/>
              <w:spacing w:line="249" w:lineRule="auto" w:before="88"/>
              <w:ind w:left="820" w:right="80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Exercício </w:t>
            </w:r>
            <w:r>
              <w:rPr>
                <w:b/>
                <w:w w:val="105"/>
                <w:sz w:val="11"/>
              </w:rPr>
              <w:t>Atual</w:t>
            </w:r>
          </w:p>
        </w:tc>
        <w:tc>
          <w:tcPr>
            <w:tcW w:w="2041" w:type="dxa"/>
            <w:shd w:val="clear" w:color="auto" w:fill="D7D7D7"/>
          </w:tcPr>
          <w:p>
            <w:pPr>
              <w:pStyle w:val="TableParagraph"/>
              <w:spacing w:line="249" w:lineRule="auto" w:before="88"/>
              <w:ind w:left="764" w:right="747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Exercício </w:t>
            </w:r>
            <w:r>
              <w:rPr>
                <w:b/>
                <w:w w:val="105"/>
                <w:sz w:val="11"/>
              </w:rPr>
              <w:t>Anterior</w:t>
            </w:r>
          </w:p>
        </w:tc>
      </w:tr>
      <w:tr>
        <w:trPr>
          <w:trHeight w:val="211" w:hRule="atLeast"/>
        </w:trPr>
        <w:tc>
          <w:tcPr>
            <w:tcW w:w="6576" w:type="dxa"/>
          </w:tcPr>
          <w:p>
            <w:pPr>
              <w:pStyle w:val="TableParagraph"/>
              <w:ind w:left="175"/>
              <w:rPr>
                <w:sz w:val="11"/>
              </w:rPr>
            </w:pPr>
            <w:r>
              <w:rPr>
                <w:w w:val="105"/>
                <w:sz w:val="11"/>
              </w:rPr>
              <w:t>Intragovernamentais</w:t>
            </w:r>
          </w:p>
        </w:tc>
        <w:tc>
          <w:tcPr>
            <w:tcW w:w="2154" w:type="dxa"/>
          </w:tcPr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2041" w:type="dxa"/>
          </w:tcPr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sz w:val="11"/>
              </w:rPr>
              <w:t>7,00</w:t>
            </w:r>
          </w:p>
        </w:tc>
      </w:tr>
      <w:tr>
        <w:trPr>
          <w:trHeight w:val="211" w:hRule="atLeast"/>
        </w:trPr>
        <w:tc>
          <w:tcPr>
            <w:tcW w:w="6576" w:type="dxa"/>
            <w:shd w:val="clear" w:color="auto" w:fill="DFDFDF"/>
          </w:tcPr>
          <w:p>
            <w:pPr>
              <w:pStyle w:val="TableParagraph"/>
              <w:ind w:left="1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Total das transferências concedidas</w:t>
            </w:r>
          </w:p>
        </w:tc>
        <w:tc>
          <w:tcPr>
            <w:tcW w:w="2154" w:type="dxa"/>
            <w:shd w:val="clear" w:color="auto" w:fill="DFDFDF"/>
          </w:tcPr>
          <w:p>
            <w:pPr>
              <w:pStyle w:val="TableParagraph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  <w:tc>
          <w:tcPr>
            <w:tcW w:w="2041" w:type="dxa"/>
            <w:shd w:val="clear" w:color="auto" w:fill="DFDFDF"/>
          </w:tcPr>
          <w:p>
            <w:pPr>
              <w:pStyle w:val="TableParagraph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7,00</w:t>
            </w:r>
          </w:p>
        </w:tc>
      </w:tr>
    </w:tbl>
    <w:p>
      <w:pPr>
        <w:spacing w:line="240" w:lineRule="auto" w:before="6" w:after="1"/>
        <w:rPr>
          <w:sz w:val="18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6"/>
        <w:gridCol w:w="2154"/>
        <w:gridCol w:w="2041"/>
      </w:tblGrid>
      <w:tr>
        <w:trPr>
          <w:trHeight w:val="211" w:hRule="atLeast"/>
        </w:trPr>
        <w:tc>
          <w:tcPr>
            <w:tcW w:w="10771" w:type="dxa"/>
            <w:gridSpan w:val="3"/>
            <w:shd w:val="clear" w:color="auto" w:fill="D7D7D7"/>
          </w:tcPr>
          <w:p>
            <w:pPr>
              <w:pStyle w:val="TableParagraph"/>
              <w:spacing w:before="28"/>
              <w:ind w:left="2766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QUADRO 3FC - DESEMBOLSO DE PESSOAL E DEMAIS DESPESAS POR FUNÇÃO</w:t>
            </w:r>
          </w:p>
        </w:tc>
      </w:tr>
      <w:tr>
        <w:trPr>
          <w:trHeight w:val="438" w:hRule="atLeast"/>
        </w:trPr>
        <w:tc>
          <w:tcPr>
            <w:tcW w:w="6576" w:type="dxa"/>
            <w:shd w:val="clear" w:color="auto" w:fill="D7D7D7"/>
          </w:tcPr>
          <w:p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2154" w:type="dxa"/>
            <w:shd w:val="clear" w:color="auto" w:fill="D7D7D7"/>
          </w:tcPr>
          <w:p>
            <w:pPr>
              <w:pStyle w:val="TableParagraph"/>
              <w:spacing w:line="249" w:lineRule="auto" w:before="88"/>
              <w:ind w:left="820" w:right="80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Exercício </w:t>
            </w:r>
            <w:r>
              <w:rPr>
                <w:b/>
                <w:w w:val="105"/>
                <w:sz w:val="11"/>
              </w:rPr>
              <w:t>Atual</w:t>
            </w:r>
          </w:p>
        </w:tc>
        <w:tc>
          <w:tcPr>
            <w:tcW w:w="2041" w:type="dxa"/>
            <w:shd w:val="clear" w:color="auto" w:fill="D7D7D7"/>
          </w:tcPr>
          <w:p>
            <w:pPr>
              <w:pStyle w:val="TableParagraph"/>
              <w:spacing w:line="249" w:lineRule="auto" w:before="88"/>
              <w:ind w:left="764" w:right="747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Exercício </w:t>
            </w:r>
            <w:r>
              <w:rPr>
                <w:b/>
                <w:w w:val="105"/>
                <w:sz w:val="11"/>
              </w:rPr>
              <w:t>Anterior</w:t>
            </w:r>
          </w:p>
        </w:tc>
      </w:tr>
      <w:tr>
        <w:trPr>
          <w:trHeight w:val="211" w:hRule="atLeast"/>
        </w:trPr>
        <w:tc>
          <w:tcPr>
            <w:tcW w:w="6576" w:type="dxa"/>
          </w:tcPr>
          <w:p>
            <w:pPr>
              <w:pStyle w:val="TableParagraph"/>
              <w:ind w:left="175"/>
              <w:rPr>
                <w:sz w:val="11"/>
              </w:rPr>
            </w:pPr>
            <w:r>
              <w:rPr>
                <w:w w:val="105"/>
                <w:sz w:val="11"/>
              </w:rPr>
              <w:t>Legislativa</w:t>
            </w:r>
          </w:p>
        </w:tc>
        <w:tc>
          <w:tcPr>
            <w:tcW w:w="2154" w:type="dxa"/>
          </w:tcPr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sz w:val="11"/>
              </w:rPr>
              <w:t>324.958,18</w:t>
            </w:r>
          </w:p>
        </w:tc>
        <w:tc>
          <w:tcPr>
            <w:tcW w:w="2041" w:type="dxa"/>
          </w:tcPr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sz w:val="11"/>
              </w:rPr>
              <w:t>321.558,72</w:t>
            </w:r>
          </w:p>
        </w:tc>
      </w:tr>
      <w:tr>
        <w:trPr>
          <w:trHeight w:val="211" w:hRule="atLeast"/>
        </w:trPr>
        <w:tc>
          <w:tcPr>
            <w:tcW w:w="6576" w:type="dxa"/>
            <w:shd w:val="clear" w:color="auto" w:fill="DFDFDF"/>
          </w:tcPr>
          <w:p>
            <w:pPr>
              <w:pStyle w:val="TableParagraph"/>
              <w:ind w:left="1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Total dos Desembolsos de Pessoal e Demais Despesas por Função</w:t>
            </w:r>
          </w:p>
        </w:tc>
        <w:tc>
          <w:tcPr>
            <w:tcW w:w="2154" w:type="dxa"/>
            <w:shd w:val="clear" w:color="auto" w:fill="DFDFDF"/>
          </w:tcPr>
          <w:p>
            <w:pPr>
              <w:pStyle w:val="TableParagraph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324.958,18</w:t>
            </w:r>
          </w:p>
        </w:tc>
        <w:tc>
          <w:tcPr>
            <w:tcW w:w="2041" w:type="dxa"/>
            <w:shd w:val="clear" w:color="auto" w:fill="DFDFDF"/>
          </w:tcPr>
          <w:p>
            <w:pPr>
              <w:pStyle w:val="TableParagraph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321.558,72</w:t>
            </w:r>
          </w:p>
        </w:tc>
      </w:tr>
    </w:tbl>
    <w:p>
      <w:pPr>
        <w:spacing w:line="240" w:lineRule="auto" w:before="10"/>
        <w:rPr>
          <w:sz w:val="11"/>
        </w:rPr>
      </w:pPr>
    </w:p>
    <w:p>
      <w:pPr>
        <w:spacing w:line="247" w:lineRule="auto" w:before="100"/>
        <w:ind w:left="123" w:right="626" w:firstLine="0"/>
        <w:jc w:val="left"/>
        <w:rPr>
          <w:sz w:val="13"/>
        </w:rPr>
      </w:pPr>
      <w:r>
        <w:rPr>
          <w:w w:val="105"/>
          <w:sz w:val="13"/>
        </w:rPr>
        <w:t>Nota:</w:t>
      </w:r>
      <w:r>
        <w:rPr>
          <w:spacing w:val="-12"/>
          <w:w w:val="105"/>
          <w:sz w:val="13"/>
        </w:rPr>
        <w:t> </w:t>
      </w:r>
      <w:r>
        <w:rPr>
          <w:w w:val="105"/>
          <w:sz w:val="13"/>
        </w:rPr>
        <w:t>A</w:t>
      </w:r>
      <w:r>
        <w:rPr>
          <w:spacing w:val="-11"/>
          <w:w w:val="105"/>
          <w:sz w:val="13"/>
        </w:rPr>
        <w:t> </w:t>
      </w:r>
      <w:r>
        <w:rPr>
          <w:w w:val="105"/>
          <w:sz w:val="13"/>
        </w:rPr>
        <w:t>Demonstração</w:t>
      </w:r>
      <w:r>
        <w:rPr>
          <w:spacing w:val="-11"/>
          <w:w w:val="105"/>
          <w:sz w:val="13"/>
        </w:rPr>
        <w:t> </w:t>
      </w:r>
      <w:r>
        <w:rPr>
          <w:w w:val="105"/>
          <w:sz w:val="13"/>
        </w:rPr>
        <w:t>dos</w:t>
      </w:r>
      <w:r>
        <w:rPr>
          <w:spacing w:val="-11"/>
          <w:w w:val="105"/>
          <w:sz w:val="13"/>
        </w:rPr>
        <w:t> </w:t>
      </w:r>
      <w:r>
        <w:rPr>
          <w:w w:val="105"/>
          <w:sz w:val="13"/>
        </w:rPr>
        <w:t>Fluxos</w:t>
      </w:r>
      <w:r>
        <w:rPr>
          <w:spacing w:val="-11"/>
          <w:w w:val="105"/>
          <w:sz w:val="13"/>
        </w:rPr>
        <w:t> </w:t>
      </w:r>
      <w:r>
        <w:rPr>
          <w:w w:val="105"/>
          <w:sz w:val="13"/>
        </w:rPr>
        <w:t>de</w:t>
      </w:r>
      <w:r>
        <w:rPr>
          <w:spacing w:val="-11"/>
          <w:w w:val="105"/>
          <w:sz w:val="13"/>
        </w:rPr>
        <w:t> </w:t>
      </w:r>
      <w:r>
        <w:rPr>
          <w:w w:val="105"/>
          <w:sz w:val="13"/>
        </w:rPr>
        <w:t>Caixa</w:t>
      </w:r>
      <w:r>
        <w:rPr>
          <w:spacing w:val="-12"/>
          <w:w w:val="105"/>
          <w:sz w:val="13"/>
        </w:rPr>
        <w:t> </w:t>
      </w:r>
      <w:r>
        <w:rPr>
          <w:w w:val="105"/>
          <w:sz w:val="13"/>
        </w:rPr>
        <w:t>é</w:t>
      </w:r>
      <w:r>
        <w:rPr>
          <w:spacing w:val="-11"/>
          <w:w w:val="105"/>
          <w:sz w:val="13"/>
        </w:rPr>
        <w:t> </w:t>
      </w:r>
      <w:r>
        <w:rPr>
          <w:w w:val="105"/>
          <w:sz w:val="13"/>
        </w:rPr>
        <w:t>elaborada</w:t>
      </w:r>
      <w:r>
        <w:rPr>
          <w:spacing w:val="-11"/>
          <w:w w:val="105"/>
          <w:sz w:val="13"/>
        </w:rPr>
        <w:t> </w:t>
      </w:r>
      <w:r>
        <w:rPr>
          <w:w w:val="105"/>
          <w:sz w:val="13"/>
        </w:rPr>
        <w:t>pelo</w:t>
      </w:r>
      <w:r>
        <w:rPr>
          <w:spacing w:val="-11"/>
          <w:w w:val="105"/>
          <w:sz w:val="13"/>
        </w:rPr>
        <w:t> </w:t>
      </w:r>
      <w:r>
        <w:rPr>
          <w:w w:val="105"/>
          <w:sz w:val="13"/>
        </w:rPr>
        <w:t>método</w:t>
      </w:r>
      <w:r>
        <w:rPr>
          <w:spacing w:val="-11"/>
          <w:w w:val="105"/>
          <w:sz w:val="13"/>
        </w:rPr>
        <w:t> </w:t>
      </w:r>
      <w:r>
        <w:rPr>
          <w:w w:val="105"/>
          <w:sz w:val="13"/>
        </w:rPr>
        <w:t>direto,</w:t>
      </w:r>
      <w:r>
        <w:rPr>
          <w:spacing w:val="-11"/>
          <w:w w:val="105"/>
          <w:sz w:val="13"/>
        </w:rPr>
        <w:t> </w:t>
      </w:r>
      <w:r>
        <w:rPr>
          <w:w w:val="105"/>
          <w:sz w:val="13"/>
        </w:rPr>
        <w:t>isto</w:t>
      </w:r>
      <w:r>
        <w:rPr>
          <w:spacing w:val="-11"/>
          <w:w w:val="105"/>
          <w:sz w:val="13"/>
        </w:rPr>
        <w:t> </w:t>
      </w:r>
      <w:r>
        <w:rPr>
          <w:w w:val="105"/>
          <w:sz w:val="13"/>
        </w:rPr>
        <w:t>é,</w:t>
      </w:r>
      <w:r>
        <w:rPr>
          <w:spacing w:val="-11"/>
          <w:w w:val="105"/>
          <w:sz w:val="13"/>
        </w:rPr>
        <w:t> </w:t>
      </w:r>
      <w:r>
        <w:rPr>
          <w:w w:val="105"/>
          <w:sz w:val="13"/>
        </w:rPr>
        <w:t>evidencia</w:t>
      </w:r>
      <w:r>
        <w:rPr>
          <w:spacing w:val="-11"/>
          <w:w w:val="105"/>
          <w:sz w:val="13"/>
        </w:rPr>
        <w:t> </w:t>
      </w:r>
      <w:r>
        <w:rPr>
          <w:w w:val="105"/>
          <w:sz w:val="13"/>
        </w:rPr>
        <w:t>somente</w:t>
      </w:r>
      <w:r>
        <w:rPr>
          <w:spacing w:val="-11"/>
          <w:w w:val="105"/>
          <w:sz w:val="13"/>
        </w:rPr>
        <w:t> </w:t>
      </w:r>
      <w:r>
        <w:rPr>
          <w:w w:val="105"/>
          <w:sz w:val="13"/>
        </w:rPr>
        <w:t>as</w:t>
      </w:r>
      <w:r>
        <w:rPr>
          <w:spacing w:val="-11"/>
          <w:w w:val="105"/>
          <w:sz w:val="13"/>
        </w:rPr>
        <w:t> </w:t>
      </w:r>
      <w:r>
        <w:rPr>
          <w:w w:val="105"/>
          <w:sz w:val="13"/>
        </w:rPr>
        <w:t>movimentações</w:t>
      </w:r>
      <w:r>
        <w:rPr>
          <w:spacing w:val="-11"/>
          <w:w w:val="105"/>
          <w:sz w:val="13"/>
        </w:rPr>
        <w:t> </w:t>
      </w:r>
      <w:r>
        <w:rPr>
          <w:w w:val="105"/>
          <w:sz w:val="13"/>
        </w:rPr>
        <w:t>ocorridas</w:t>
      </w:r>
      <w:r>
        <w:rPr>
          <w:spacing w:val="-11"/>
          <w:w w:val="105"/>
          <w:sz w:val="13"/>
        </w:rPr>
        <w:t> </w:t>
      </w:r>
      <w:r>
        <w:rPr>
          <w:w w:val="105"/>
          <w:sz w:val="13"/>
        </w:rPr>
        <w:t>no</w:t>
      </w:r>
      <w:r>
        <w:rPr>
          <w:spacing w:val="-11"/>
          <w:w w:val="105"/>
          <w:sz w:val="13"/>
        </w:rPr>
        <w:t> </w:t>
      </w:r>
      <w:r>
        <w:rPr>
          <w:w w:val="105"/>
          <w:sz w:val="13"/>
        </w:rPr>
        <w:t>caixa</w:t>
      </w:r>
      <w:r>
        <w:rPr>
          <w:spacing w:val="-11"/>
          <w:w w:val="105"/>
          <w:sz w:val="13"/>
        </w:rPr>
        <w:t> </w:t>
      </w:r>
      <w:r>
        <w:rPr>
          <w:w w:val="105"/>
          <w:sz w:val="13"/>
        </w:rPr>
        <w:t>e</w:t>
      </w:r>
      <w:r>
        <w:rPr>
          <w:spacing w:val="-11"/>
          <w:w w:val="105"/>
          <w:sz w:val="13"/>
        </w:rPr>
        <w:t> </w:t>
      </w:r>
      <w:r>
        <w:rPr>
          <w:w w:val="105"/>
          <w:sz w:val="13"/>
        </w:rPr>
        <w:t>seus</w:t>
      </w:r>
      <w:r>
        <w:rPr>
          <w:spacing w:val="-11"/>
          <w:w w:val="105"/>
          <w:sz w:val="13"/>
        </w:rPr>
        <w:t> </w:t>
      </w:r>
      <w:r>
        <w:rPr>
          <w:w w:val="105"/>
          <w:sz w:val="13"/>
        </w:rPr>
        <w:t>equivalentes</w:t>
      </w:r>
      <w:r>
        <w:rPr>
          <w:spacing w:val="-11"/>
          <w:w w:val="105"/>
          <w:sz w:val="13"/>
        </w:rPr>
        <w:t> </w:t>
      </w:r>
      <w:r>
        <w:rPr>
          <w:w w:val="105"/>
          <w:sz w:val="13"/>
        </w:rPr>
        <w:t>(bancos). Os valores apresentados consideram a movimentação das contas Intra</w:t>
      </w:r>
      <w:r>
        <w:rPr>
          <w:spacing w:val="-15"/>
          <w:w w:val="105"/>
          <w:sz w:val="13"/>
        </w:rPr>
        <w:t> </w:t>
      </w:r>
      <w:r>
        <w:rPr>
          <w:w w:val="105"/>
          <w:sz w:val="13"/>
        </w:rPr>
        <w:t>OFSS.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16"/>
        </w:rPr>
      </w:pPr>
      <w:r>
        <w:rPr/>
        <w:pict>
          <v:line style="position:absolute;mso-position-horizontal-relative:page;mso-position-vertical-relative:paragraph;z-index:-1024;mso-wrap-distance-left:0;mso-wrap-distance-right:0" from="194.774094pt,11.792566pt" to="280.933377pt,11.792566pt" stroked="true" strokeweight=".41256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1000;mso-wrap-distance-left:0;mso-wrap-distance-right:0" from="298.180664pt,11.792566pt" to="384.417168pt,11.792566pt" stroked="true" strokeweight=".41256pt" strokecolor="#000000">
            <v:stroke dashstyle="solid"/>
            <w10:wrap type="topAndBottom"/>
          </v:line>
        </w:pict>
      </w:r>
    </w:p>
    <w:p>
      <w:pPr>
        <w:pStyle w:val="BodyText"/>
        <w:tabs>
          <w:tab w:pos="5642" w:val="left" w:leader="none"/>
        </w:tabs>
        <w:spacing w:line="100" w:lineRule="exact"/>
        <w:ind w:left="3711"/>
        <w:rPr>
          <w:rFonts w:ascii="Lucida Console"/>
        </w:rPr>
      </w:pPr>
      <w:r>
        <w:rPr>
          <w:rFonts w:ascii="Lucida Console"/>
          <w:w w:val="105"/>
        </w:rPr>
        <w:t>GRACIELA</w:t>
      </w:r>
      <w:r>
        <w:rPr>
          <w:rFonts w:ascii="Lucida Console"/>
          <w:spacing w:val="-14"/>
          <w:w w:val="105"/>
        </w:rPr>
        <w:t> </w:t>
      </w:r>
      <w:r>
        <w:rPr>
          <w:rFonts w:ascii="Lucida Console"/>
          <w:w w:val="105"/>
        </w:rPr>
        <w:t>TESSARO</w:t>
        <w:tab/>
        <w:t>ZELVIR ANSELMO</w:t>
      </w:r>
      <w:r>
        <w:rPr>
          <w:rFonts w:ascii="Lucida Console"/>
          <w:spacing w:val="-3"/>
          <w:w w:val="105"/>
        </w:rPr>
        <w:t> </w:t>
      </w:r>
      <w:r>
        <w:rPr>
          <w:rFonts w:ascii="Lucida Console"/>
          <w:w w:val="105"/>
        </w:rPr>
        <w:t>SANTI</w:t>
      </w:r>
    </w:p>
    <w:p>
      <w:pPr>
        <w:pStyle w:val="BodyText"/>
        <w:tabs>
          <w:tab w:pos="5504" w:val="left" w:leader="none"/>
        </w:tabs>
        <w:spacing w:line="249" w:lineRule="auto" w:before="4"/>
        <w:ind w:left="3849" w:right="3775" w:firstLine="137"/>
        <w:rPr>
          <w:rFonts w:ascii="Lucida Console"/>
        </w:rPr>
      </w:pPr>
      <w:r>
        <w:rPr>
          <w:rFonts w:ascii="Lucida Console"/>
          <w:w w:val="105"/>
        </w:rPr>
        <w:t>CONTADORA</w:t>
        <w:tab/>
        <w:t>PRESIDENTE DO</w:t>
      </w:r>
      <w:r>
        <w:rPr>
          <w:rFonts w:ascii="Lucida Console"/>
          <w:spacing w:val="-31"/>
          <w:w w:val="105"/>
        </w:rPr>
        <w:t> </w:t>
      </w:r>
      <w:r>
        <w:rPr>
          <w:rFonts w:ascii="Lucida Console"/>
          <w:w w:val="105"/>
        </w:rPr>
        <w:t>LEGISLATIVO CRC/RS</w:t>
      </w:r>
      <w:r>
        <w:rPr>
          <w:rFonts w:ascii="Lucida Console"/>
          <w:spacing w:val="-2"/>
          <w:w w:val="105"/>
        </w:rPr>
        <w:t> </w:t>
      </w:r>
      <w:r>
        <w:rPr>
          <w:rFonts w:ascii="Lucida Console"/>
          <w:w w:val="105"/>
        </w:rPr>
        <w:t>78.694</w:t>
      </w:r>
    </w:p>
    <w:p>
      <w:pPr>
        <w:pStyle w:val="BodyText"/>
        <w:spacing w:before="1"/>
        <w:ind w:left="3689" w:right="6028"/>
        <w:jc w:val="center"/>
        <w:rPr>
          <w:rFonts w:ascii="Lucida Console"/>
        </w:rPr>
      </w:pPr>
      <w:r>
        <w:rPr>
          <w:rFonts w:ascii="Lucida Console"/>
          <w:w w:val="105"/>
        </w:rPr>
        <w:t>CPF 989.107.010.72</w:t>
      </w:r>
    </w:p>
    <w:p>
      <w:pPr>
        <w:pStyle w:val="BodyText"/>
        <w:rPr>
          <w:rFonts w:ascii="Lucida Console"/>
          <w:sz w:val="20"/>
        </w:rPr>
      </w:pPr>
    </w:p>
    <w:p>
      <w:pPr>
        <w:pStyle w:val="BodyText"/>
        <w:rPr>
          <w:rFonts w:ascii="Lucida Console"/>
          <w:sz w:val="20"/>
        </w:rPr>
      </w:pPr>
    </w:p>
    <w:p>
      <w:pPr>
        <w:pStyle w:val="BodyText"/>
        <w:rPr>
          <w:rFonts w:ascii="Lucida Console"/>
          <w:sz w:val="20"/>
        </w:rPr>
      </w:pPr>
    </w:p>
    <w:p>
      <w:pPr>
        <w:pStyle w:val="BodyText"/>
        <w:rPr>
          <w:rFonts w:ascii="Lucida Console"/>
          <w:sz w:val="20"/>
        </w:rPr>
      </w:pPr>
    </w:p>
    <w:p>
      <w:pPr>
        <w:pStyle w:val="BodyText"/>
        <w:rPr>
          <w:rFonts w:ascii="Lucida Console"/>
          <w:sz w:val="20"/>
        </w:rPr>
      </w:pPr>
    </w:p>
    <w:p>
      <w:pPr>
        <w:pStyle w:val="BodyText"/>
        <w:rPr>
          <w:rFonts w:ascii="Lucida Console"/>
          <w:sz w:val="20"/>
        </w:rPr>
      </w:pPr>
    </w:p>
    <w:p>
      <w:pPr>
        <w:pStyle w:val="BodyText"/>
        <w:rPr>
          <w:rFonts w:ascii="Lucida Console"/>
          <w:sz w:val="20"/>
        </w:rPr>
      </w:pPr>
    </w:p>
    <w:p>
      <w:pPr>
        <w:pStyle w:val="BodyText"/>
        <w:rPr>
          <w:rFonts w:ascii="Lucida Console"/>
          <w:sz w:val="20"/>
        </w:rPr>
      </w:pPr>
    </w:p>
    <w:p>
      <w:pPr>
        <w:pStyle w:val="BodyText"/>
        <w:rPr>
          <w:rFonts w:ascii="Lucida Console"/>
          <w:sz w:val="20"/>
        </w:rPr>
      </w:pPr>
    </w:p>
    <w:p>
      <w:pPr>
        <w:pStyle w:val="BodyText"/>
        <w:rPr>
          <w:rFonts w:ascii="Lucida Console"/>
          <w:sz w:val="20"/>
        </w:rPr>
      </w:pPr>
    </w:p>
    <w:p>
      <w:pPr>
        <w:pStyle w:val="BodyText"/>
        <w:rPr>
          <w:rFonts w:ascii="Lucida Console"/>
          <w:sz w:val="20"/>
        </w:rPr>
      </w:pPr>
    </w:p>
    <w:p>
      <w:pPr>
        <w:pStyle w:val="BodyText"/>
        <w:rPr>
          <w:rFonts w:ascii="Lucida Console"/>
          <w:sz w:val="20"/>
        </w:rPr>
      </w:pPr>
    </w:p>
    <w:p>
      <w:pPr>
        <w:pStyle w:val="BodyText"/>
        <w:rPr>
          <w:rFonts w:ascii="Lucida Console"/>
          <w:sz w:val="20"/>
        </w:rPr>
      </w:pPr>
    </w:p>
    <w:p>
      <w:pPr>
        <w:pStyle w:val="BodyText"/>
        <w:rPr>
          <w:rFonts w:ascii="Lucida Console"/>
          <w:sz w:val="20"/>
        </w:rPr>
      </w:pPr>
    </w:p>
    <w:p>
      <w:pPr>
        <w:pStyle w:val="BodyText"/>
        <w:rPr>
          <w:rFonts w:ascii="Lucida Console"/>
          <w:sz w:val="20"/>
        </w:rPr>
      </w:pPr>
    </w:p>
    <w:p>
      <w:pPr>
        <w:pStyle w:val="BodyText"/>
        <w:rPr>
          <w:rFonts w:ascii="Lucida Console"/>
          <w:sz w:val="20"/>
        </w:rPr>
      </w:pPr>
    </w:p>
    <w:p>
      <w:pPr>
        <w:pStyle w:val="BodyText"/>
        <w:rPr>
          <w:rFonts w:ascii="Lucida Console"/>
          <w:sz w:val="20"/>
        </w:rPr>
      </w:pPr>
    </w:p>
    <w:p>
      <w:pPr>
        <w:pStyle w:val="BodyText"/>
        <w:rPr>
          <w:rFonts w:ascii="Lucida Console"/>
          <w:sz w:val="20"/>
        </w:rPr>
      </w:pPr>
    </w:p>
    <w:p>
      <w:pPr>
        <w:pStyle w:val="BodyText"/>
        <w:rPr>
          <w:rFonts w:ascii="Lucida Console"/>
          <w:sz w:val="20"/>
        </w:rPr>
      </w:pPr>
    </w:p>
    <w:p>
      <w:pPr>
        <w:pStyle w:val="BodyText"/>
        <w:rPr>
          <w:rFonts w:ascii="Lucida Console"/>
          <w:sz w:val="20"/>
        </w:rPr>
      </w:pPr>
    </w:p>
    <w:p>
      <w:pPr>
        <w:pStyle w:val="BodyText"/>
        <w:rPr>
          <w:rFonts w:ascii="Lucida Console"/>
          <w:sz w:val="20"/>
        </w:rPr>
      </w:pPr>
    </w:p>
    <w:p>
      <w:pPr>
        <w:pStyle w:val="BodyText"/>
        <w:rPr>
          <w:rFonts w:ascii="Lucida Console"/>
          <w:sz w:val="20"/>
        </w:rPr>
      </w:pPr>
    </w:p>
    <w:p>
      <w:pPr>
        <w:pStyle w:val="BodyText"/>
        <w:rPr>
          <w:rFonts w:ascii="Lucida Console"/>
          <w:sz w:val="20"/>
        </w:rPr>
      </w:pPr>
    </w:p>
    <w:p>
      <w:pPr>
        <w:pStyle w:val="BodyText"/>
        <w:spacing w:before="3"/>
        <w:rPr>
          <w:rFonts w:ascii="Lucida Console"/>
          <w:sz w:val="28"/>
        </w:rPr>
      </w:pPr>
    </w:p>
    <w:p>
      <w:pPr>
        <w:pStyle w:val="BodyText"/>
        <w:tabs>
          <w:tab w:pos="9173" w:val="left" w:leader="none"/>
        </w:tabs>
        <w:spacing w:before="101"/>
        <w:ind w:left="123"/>
      </w:pPr>
      <w:r>
        <w:rPr>
          <w:w w:val="105"/>
        </w:rPr>
        <w:t>PRONIM CP -</w:t>
      </w:r>
      <w:r>
        <w:rPr>
          <w:spacing w:val="-15"/>
          <w:w w:val="105"/>
        </w:rPr>
        <w:t> </w:t>
      </w:r>
      <w:r>
        <w:rPr>
          <w:w w:val="105"/>
        </w:rPr>
        <w:t>Contabilidade</w:t>
      </w:r>
      <w:r>
        <w:rPr>
          <w:spacing w:val="-5"/>
          <w:w w:val="105"/>
        </w:rPr>
        <w:t> </w:t>
      </w:r>
      <w:r>
        <w:rPr>
          <w:w w:val="105"/>
        </w:rPr>
        <w:t>Pública</w:t>
        <w:tab/>
        <w:t>Emitido em: 25/05/2018</w:t>
      </w:r>
      <w:r>
        <w:rPr>
          <w:spacing w:val="-13"/>
          <w:w w:val="105"/>
        </w:rPr>
        <w:t> </w:t>
      </w:r>
      <w:r>
        <w:rPr>
          <w:w w:val="105"/>
        </w:rPr>
        <w:t>15:19:01</w:t>
      </w:r>
    </w:p>
    <w:sectPr>
      <w:type w:val="continuous"/>
      <w:pgSz w:w="11910" w:h="16840"/>
      <w:pgMar w:top="480" w:bottom="280" w:left="4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ucida Console">
    <w:altName w:val="Lucida Console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gl" w:eastAsia="gl" w:bidi="g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1"/>
      <w:szCs w:val="11"/>
      <w:lang w:val="gl" w:eastAsia="gl" w:bidi="gl"/>
    </w:rPr>
  </w:style>
  <w:style w:styleId="ListParagraph" w:type="paragraph">
    <w:name w:val="List Paragraph"/>
    <w:basedOn w:val="Normal"/>
    <w:uiPriority w:val="1"/>
    <w:qFormat/>
    <w:pPr/>
    <w:rPr>
      <w:lang w:val="gl" w:eastAsia="gl" w:bidi="gl"/>
    </w:rPr>
  </w:style>
  <w:style w:styleId="TableParagraph" w:type="paragraph">
    <w:name w:val="Table Paragraph"/>
    <w:basedOn w:val="Normal"/>
    <w:uiPriority w:val="1"/>
    <w:qFormat/>
    <w:pPr>
      <w:spacing w:before="40"/>
    </w:pPr>
    <w:rPr>
      <w:rFonts w:ascii="Arial" w:hAnsi="Arial" w:eastAsia="Arial" w:cs="Arial"/>
      <w:lang w:val="gl" w:eastAsia="gl" w:bidi="g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PRONIM</dc:creator>
  <dc:subject>CP920018</dc:subject>
  <dc:title>Report</dc:title>
  <dcterms:created xsi:type="dcterms:W3CDTF">2018-05-30T17:30:31Z</dcterms:created>
  <dcterms:modified xsi:type="dcterms:W3CDTF">2018-05-30T17:30:31Z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2018-05-25T00:00:00Z</vt:filetime>
  </property>
  <property fmtid="{D5CDD505-2E9C-101B-9397-08002B2CF9AE}" pid="3" name="Creator">
    <vt:lpwstr>Stimulsoft Reports 2012.2.1400 from 13 September 2012</vt:lpwstr>
  </property>
  <property fmtid="{D5CDD505-2E9C-101B-9397-08002B2CF9AE}" pid="4" name="LastSaved">
    <vt:filetime>2018-05-30T00:00:00Z</vt:filetime>
  </property>
</Properties>
</file>